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2"/>
          <w:szCs w:val="32"/>
        </w:rPr>
      </w:pPr>
      <w:r>
        <w:rPr>
          <w:rStyle w:val="5"/>
          <w:sz w:val="32"/>
          <w:szCs w:val="32"/>
        </w:rPr>
        <w:t>​南涧县南鹏高级中学202</w:t>
      </w:r>
      <w:r>
        <w:rPr>
          <w:rStyle w:val="5"/>
          <w:rFonts w:hint="eastAsia"/>
          <w:sz w:val="32"/>
          <w:szCs w:val="32"/>
          <w:lang w:val="en-US" w:eastAsia="zh-CN"/>
        </w:rPr>
        <w:t>3</w:t>
      </w:r>
      <w:r>
        <w:rPr>
          <w:rStyle w:val="5"/>
          <w:sz w:val="32"/>
          <w:szCs w:val="32"/>
        </w:rPr>
        <w:t>年教师招聘公告</w:t>
      </w:r>
    </w:p>
    <w:p>
      <w:pPr>
        <w:keepNext w:val="0"/>
        <w:keepLines w:val="0"/>
        <w:widowControl/>
        <w:suppressLineNumbers w:val="0"/>
        <w:ind w:firstLine="560" w:firstLineChars="200"/>
        <w:jc w:val="left"/>
        <w:rPr>
          <w:rFonts w:ascii="宋体" w:hAnsi="宋体" w:eastAsia="宋体" w:cs="宋体"/>
          <w:kern w:val="0"/>
          <w:sz w:val="28"/>
          <w:szCs w:val="28"/>
          <w:lang w:val="en-US" w:eastAsia="zh-CN" w:bidi="ar"/>
        </w:rPr>
      </w:pPr>
      <w:r>
        <w:rPr>
          <w:rFonts w:ascii="宋体" w:hAnsi="宋体" w:eastAsia="宋体" w:cs="宋体"/>
          <w:kern w:val="0"/>
          <w:sz w:val="28"/>
          <w:szCs w:val="28"/>
          <w:lang w:val="en-US" w:eastAsia="zh-CN" w:bidi="ar"/>
        </w:rPr>
        <w:t>大理州南涧县位于中国历史文化名城-大理市南端，地处大理、临沧、普洱三州（市）五县的结合部。有“五高速一铁路”过境，大南高速通车后距大理市50分钟车程，交通便利，区位优越。</w:t>
      </w:r>
    </w:p>
    <w:p>
      <w:pPr>
        <w:keepNext w:val="0"/>
        <w:keepLines w:val="0"/>
        <w:widowControl/>
        <w:suppressLineNumbers w:val="0"/>
        <w:ind w:firstLine="560" w:firstLineChars="200"/>
        <w:jc w:val="left"/>
        <w:rPr>
          <w:rFonts w:hint="eastAsia" w:ascii="宋体" w:hAnsi="宋体" w:eastAsia="宋体" w:cs="宋体"/>
          <w:kern w:val="0"/>
          <w:sz w:val="28"/>
          <w:szCs w:val="28"/>
          <w:lang w:val="en-US" w:eastAsia="zh-CN" w:bidi="ar"/>
        </w:rPr>
      </w:pPr>
      <w:r>
        <w:rPr>
          <w:rFonts w:ascii="宋体" w:hAnsi="宋体" w:eastAsia="宋体" w:cs="宋体"/>
          <w:kern w:val="0"/>
          <w:sz w:val="28"/>
          <w:szCs w:val="28"/>
          <w:lang w:val="en-US" w:eastAsia="zh-CN" w:bidi="ar"/>
        </w:rPr>
        <w:drawing>
          <wp:inline distT="0" distB="0" distL="114300" distR="114300">
            <wp:extent cx="4568190" cy="2563495"/>
            <wp:effectExtent l="0" t="0" r="3810" b="825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568190" cy="256349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suppressLineNumbers w:val="0"/>
        <w:ind w:firstLine="560" w:firstLineChars="200"/>
        <w:jc w:val="left"/>
        <w:rPr>
          <w:rFonts w:ascii="宋体" w:hAnsi="宋体" w:eastAsia="宋体" w:cs="宋体"/>
          <w:kern w:val="0"/>
          <w:sz w:val="28"/>
          <w:szCs w:val="28"/>
          <w:lang w:val="en-US" w:eastAsia="zh-CN" w:bidi="ar"/>
        </w:rPr>
      </w:pPr>
      <w:r>
        <w:rPr>
          <w:rFonts w:ascii="宋体" w:hAnsi="宋体" w:eastAsia="宋体" w:cs="宋体"/>
          <w:kern w:val="0"/>
          <w:sz w:val="28"/>
          <w:szCs w:val="28"/>
          <w:lang w:val="en-US" w:eastAsia="zh-CN" w:bidi="ar"/>
        </w:rPr>
        <w:t>大理州南涧县南鹏高级中学是一所经教育主管部门批准设立，由云南滇鹏教育投资集团有限公司创办的全日制普通高中。学校地址位于大理州南涧县南涧镇得胜村委会杨免庄127号，距离南涧县城区仅1公里，交通便利，环境优美。</w:t>
      </w:r>
    </w:p>
    <w:p>
      <w:pPr>
        <w:keepNext w:val="0"/>
        <w:keepLines w:val="0"/>
        <w:widowControl/>
        <w:suppressLineNumbers w:val="0"/>
        <w:ind w:firstLine="560" w:firstLineChars="200"/>
        <w:jc w:val="left"/>
        <w:rPr>
          <w:rFonts w:ascii="宋体" w:hAnsi="宋体" w:eastAsia="宋体" w:cs="宋体"/>
          <w:kern w:val="0"/>
          <w:sz w:val="28"/>
          <w:szCs w:val="28"/>
          <w:lang w:val="en-US" w:eastAsia="zh-CN" w:bidi="ar"/>
        </w:rPr>
      </w:pPr>
      <w:r>
        <w:rPr>
          <w:rFonts w:ascii="宋体" w:hAnsi="宋体" w:eastAsia="宋体" w:cs="宋体"/>
          <w:kern w:val="0"/>
          <w:sz w:val="28"/>
          <w:szCs w:val="28"/>
          <w:lang w:val="en-US" w:eastAsia="zh-CN" w:bidi="ar"/>
        </w:rPr>
        <w:t>学校从课堂入手，推行打造有效课堂的现代教学理念，改革教学模式，提高教学质量。近年来，屡次受到社会及上级教育主管部门的好评。</w:t>
      </w:r>
    </w:p>
    <w:p>
      <w:pPr>
        <w:keepNext w:val="0"/>
        <w:keepLines w:val="0"/>
        <w:widowControl/>
        <w:suppressLineNumbers w:val="0"/>
        <w:ind w:firstLine="560" w:firstLineChars="200"/>
        <w:jc w:val="left"/>
        <w:rPr>
          <w:rFonts w:ascii="宋体" w:hAnsi="宋体" w:eastAsia="宋体" w:cs="宋体"/>
          <w:kern w:val="0"/>
          <w:sz w:val="28"/>
          <w:szCs w:val="28"/>
          <w:lang w:val="en-US" w:eastAsia="zh-CN" w:bidi="ar"/>
        </w:rPr>
      </w:pPr>
      <w:r>
        <w:rPr>
          <w:rFonts w:ascii="宋体" w:hAnsi="宋体" w:eastAsia="宋体" w:cs="宋体"/>
          <w:kern w:val="0"/>
          <w:sz w:val="28"/>
          <w:szCs w:val="28"/>
          <w:lang w:val="en-US" w:eastAsia="zh-CN" w:bidi="ar"/>
        </w:rPr>
        <w:drawing>
          <wp:inline distT="0" distB="0" distL="114300" distR="114300">
            <wp:extent cx="4870450" cy="3373755"/>
            <wp:effectExtent l="0" t="0" r="6350" b="17145"/>
            <wp:docPr id="6" name="图片 6" descr="060de417a3f6a4a9c452b608de2d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60de417a3f6a4a9c452b608de2d03d"/>
                    <pic:cNvPicPr>
                      <a:picLocks noChangeAspect="1"/>
                    </pic:cNvPicPr>
                  </pic:nvPicPr>
                  <pic:blipFill>
                    <a:blip r:embed="rId5"/>
                    <a:stretch>
                      <a:fillRect/>
                    </a:stretch>
                  </pic:blipFill>
                  <pic:spPr>
                    <a:xfrm>
                      <a:off x="0" y="0"/>
                      <a:ext cx="4870450" cy="3373755"/>
                    </a:xfrm>
                    <a:prstGeom prst="rect">
                      <a:avLst/>
                    </a:prstGeom>
                  </pic:spPr>
                </pic:pic>
              </a:graphicData>
            </a:graphic>
          </wp:inline>
        </w:drawing>
      </w:r>
    </w:p>
    <w:p>
      <w:pPr>
        <w:keepNext w:val="0"/>
        <w:keepLines w:val="0"/>
        <w:widowControl/>
        <w:suppressLineNumbers w:val="0"/>
        <w:ind w:firstLine="560" w:firstLineChars="200"/>
        <w:jc w:val="left"/>
        <w:rPr>
          <w:sz w:val="22"/>
          <w:szCs w:val="28"/>
        </w:rPr>
      </w:pPr>
      <w:r>
        <w:rPr>
          <w:rFonts w:ascii="宋体" w:hAnsi="宋体" w:eastAsia="宋体" w:cs="宋体"/>
          <w:kern w:val="0"/>
          <w:sz w:val="28"/>
          <w:szCs w:val="28"/>
          <w:lang w:val="en-US" w:eastAsia="zh-CN" w:bidi="ar"/>
        </w:rPr>
        <w:t>学校教育教学设施齐全，校园环境优美，学生学风上进，教师教风优良。学校遵循“以人为本，追求卓越”的校训，以“梦想、责任、品质”为办学理念，秉持“博学、笃行、合作、进取”的校风、“博爱、尊重、耐心、创新”的教风、“厚积、有恒、深思、求异”的学风，致力于办成一所“学校倾注灵魂，学生积极上进，教师作风优良，家长充满信心，社会信任赞扬”的名校。根据学校发展需求，现面向全国招聘有意向从事教育教学事业的优秀全日制本科及以上毕业生，或从事高中教育教学工作五年以上的优秀教师，共计2</w:t>
      </w:r>
      <w:r>
        <w:rPr>
          <w:rFonts w:hint="eastAsia" w:ascii="宋体" w:hAnsi="宋体" w:eastAsia="宋体" w:cs="宋体"/>
          <w:kern w:val="0"/>
          <w:sz w:val="28"/>
          <w:szCs w:val="28"/>
          <w:lang w:val="en-US" w:eastAsia="zh-CN" w:bidi="ar"/>
        </w:rPr>
        <w:t>3</w:t>
      </w:r>
      <w:r>
        <w:rPr>
          <w:rFonts w:ascii="宋体" w:hAnsi="宋体" w:eastAsia="宋体" w:cs="宋体"/>
          <w:kern w:val="0"/>
          <w:sz w:val="28"/>
          <w:szCs w:val="28"/>
          <w:lang w:val="en-US" w:eastAsia="zh-CN" w:bidi="ar"/>
        </w:rPr>
        <w:t>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5"/>
          <w:color w:val="3E3E3E"/>
          <w:sz w:val="28"/>
          <w:szCs w:val="28"/>
        </w:rPr>
        <w:t>二、招聘岗位</w:t>
      </w:r>
    </w:p>
    <w:tbl>
      <w:tblPr>
        <w:tblStyle w:val="3"/>
        <w:tblW w:w="506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07"/>
        <w:gridCol w:w="697"/>
        <w:gridCol w:w="792"/>
        <w:gridCol w:w="839"/>
        <w:gridCol w:w="761"/>
        <w:gridCol w:w="810"/>
        <w:gridCol w:w="807"/>
        <w:gridCol w:w="812"/>
        <w:gridCol w:w="745"/>
        <w:gridCol w:w="8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774"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jc w:val="center"/>
              <w:rPr>
                <w:sz w:val="28"/>
                <w:szCs w:val="28"/>
              </w:rPr>
            </w:pPr>
            <w:r>
              <w:rPr>
                <w:rStyle w:val="5"/>
                <w:sz w:val="28"/>
                <w:szCs w:val="28"/>
              </w:rPr>
              <w:t>学科学段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0" w:lineRule="atLeast"/>
              <w:ind w:left="0" w:right="0"/>
              <w:rPr>
                <w:sz w:val="2"/>
                <w:szCs w:val="2"/>
              </w:rPr>
            </w:pPr>
          </w:p>
        </w:tc>
        <w:tc>
          <w:tcPr>
            <w:tcW w:w="413"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jc w:val="center"/>
              <w:rPr>
                <w:sz w:val="28"/>
                <w:szCs w:val="28"/>
              </w:rPr>
            </w:pPr>
            <w:r>
              <w:rPr>
                <w:sz w:val="28"/>
                <w:szCs w:val="28"/>
              </w:rPr>
              <w:t>语文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0" w:lineRule="atLeast"/>
              <w:ind w:left="0" w:right="0"/>
              <w:jc w:val="center"/>
              <w:rPr>
                <w:sz w:val="2"/>
                <w:szCs w:val="2"/>
              </w:rPr>
            </w:pPr>
          </w:p>
        </w:tc>
        <w:tc>
          <w:tcPr>
            <w:tcW w:w="469"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jc w:val="center"/>
              <w:rPr>
                <w:sz w:val="28"/>
                <w:szCs w:val="28"/>
              </w:rPr>
            </w:pPr>
            <w:r>
              <w:rPr>
                <w:color w:val="000000"/>
                <w:sz w:val="28"/>
                <w:szCs w:val="28"/>
              </w:rPr>
              <w:t>数学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0" w:lineRule="atLeast"/>
              <w:ind w:left="0" w:right="0"/>
              <w:jc w:val="center"/>
              <w:rPr>
                <w:sz w:val="2"/>
                <w:szCs w:val="2"/>
              </w:rPr>
            </w:pPr>
          </w:p>
        </w:tc>
        <w:tc>
          <w:tcPr>
            <w:tcW w:w="497"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jc w:val="center"/>
              <w:rPr>
                <w:sz w:val="28"/>
                <w:szCs w:val="28"/>
              </w:rPr>
            </w:pPr>
            <w:r>
              <w:rPr>
                <w:sz w:val="28"/>
                <w:szCs w:val="28"/>
              </w:rPr>
              <w:t>英语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0" w:lineRule="atLeast"/>
              <w:ind w:left="0" w:right="0"/>
              <w:jc w:val="center"/>
              <w:rPr>
                <w:sz w:val="2"/>
                <w:szCs w:val="2"/>
              </w:rPr>
            </w:pPr>
          </w:p>
        </w:tc>
        <w:tc>
          <w:tcPr>
            <w:tcW w:w="451"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jc w:val="center"/>
              <w:rPr>
                <w:sz w:val="28"/>
                <w:szCs w:val="28"/>
              </w:rPr>
            </w:pPr>
            <w:r>
              <w:rPr>
                <w:sz w:val="28"/>
                <w:szCs w:val="28"/>
              </w:rPr>
              <w:t>政治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0" w:lineRule="atLeast"/>
              <w:ind w:left="0" w:right="0"/>
              <w:jc w:val="center"/>
              <w:rPr>
                <w:sz w:val="2"/>
                <w:szCs w:val="2"/>
              </w:rPr>
            </w:pPr>
          </w:p>
        </w:tc>
        <w:tc>
          <w:tcPr>
            <w:tcW w:w="480"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jc w:val="center"/>
              <w:rPr>
                <w:rFonts w:hint="default" w:eastAsiaTheme="minorEastAsia"/>
                <w:sz w:val="28"/>
                <w:szCs w:val="28"/>
                <w:lang w:val="en-US" w:eastAsia="zh-CN"/>
              </w:rPr>
            </w:pPr>
            <w:r>
              <w:rPr>
                <w:rFonts w:hint="eastAsia"/>
                <w:sz w:val="28"/>
                <w:szCs w:val="28"/>
                <w:lang w:val="en-US" w:eastAsia="zh-CN"/>
              </w:rPr>
              <w:t>历史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0" w:lineRule="atLeast"/>
              <w:ind w:left="0" w:right="0"/>
              <w:jc w:val="center"/>
              <w:rPr>
                <w:sz w:val="2"/>
                <w:szCs w:val="2"/>
              </w:rPr>
            </w:pPr>
          </w:p>
        </w:tc>
        <w:tc>
          <w:tcPr>
            <w:tcW w:w="478"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jc w:val="center"/>
              <w:rPr>
                <w:rFonts w:hint="eastAsia" w:eastAsiaTheme="minorEastAsia"/>
                <w:sz w:val="28"/>
                <w:szCs w:val="28"/>
                <w:lang w:val="en-US" w:eastAsia="zh-CN"/>
              </w:rPr>
            </w:pPr>
            <w:r>
              <w:rPr>
                <w:rFonts w:hint="eastAsia"/>
                <w:sz w:val="28"/>
                <w:szCs w:val="28"/>
                <w:lang w:val="en-US" w:eastAsia="zh-CN"/>
              </w:rPr>
              <w:t>化学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0" w:lineRule="atLeast"/>
              <w:ind w:left="0" w:right="0"/>
              <w:jc w:val="center"/>
              <w:rPr>
                <w:sz w:val="2"/>
                <w:szCs w:val="2"/>
              </w:rPr>
            </w:pPr>
          </w:p>
        </w:tc>
        <w:tc>
          <w:tcPr>
            <w:tcW w:w="481"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sz w:val="28"/>
                <w:szCs w:val="28"/>
                <w:lang w:eastAsia="zh-CN"/>
              </w:rPr>
            </w:pPr>
            <w:r>
              <w:rPr>
                <w:rFonts w:hint="eastAsia"/>
                <w:sz w:val="28"/>
                <w:szCs w:val="28"/>
                <w:lang w:val="en-US" w:eastAsia="zh-CN"/>
              </w:rPr>
              <w:t>物理</w:t>
            </w:r>
          </w:p>
        </w:tc>
        <w:tc>
          <w:tcPr>
            <w:tcW w:w="441"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jc w:val="center"/>
              <w:rPr>
                <w:rFonts w:asciiTheme="minorHAnsi" w:hAnsiTheme="minorHAnsi" w:eastAsiaTheme="minorEastAsia" w:cstheme="minorBidi"/>
                <w:kern w:val="0"/>
                <w:sz w:val="28"/>
                <w:szCs w:val="28"/>
                <w:lang w:val="en-US" w:eastAsia="zh-CN" w:bidi="ar"/>
              </w:rPr>
            </w:pPr>
            <w:r>
              <w:rPr>
                <w:sz w:val="28"/>
                <w:szCs w:val="28"/>
              </w:rPr>
              <w:t>日语</w:t>
            </w:r>
          </w:p>
        </w:tc>
        <w:tc>
          <w:tcPr>
            <w:tcW w:w="512"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sz w:val="28"/>
                <w:szCs w:val="28"/>
                <w:lang w:val="en-US" w:eastAsia="zh-CN"/>
              </w:rPr>
            </w:pPr>
            <w:r>
              <w:rPr>
                <w:rFonts w:hint="eastAsia"/>
                <w:sz w:val="28"/>
                <w:szCs w:val="28"/>
                <w:lang w:val="en-US" w:eastAsia="zh-CN"/>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774"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jc w:val="center"/>
              <w:rPr>
                <w:sz w:val="28"/>
                <w:szCs w:val="28"/>
              </w:rPr>
            </w:pPr>
            <w:r>
              <w:rPr>
                <w:rStyle w:val="5"/>
                <w:sz w:val="28"/>
                <w:szCs w:val="28"/>
              </w:rPr>
              <w:t>高中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0" w:lineRule="atLeast"/>
              <w:ind w:left="0" w:right="0"/>
              <w:rPr>
                <w:sz w:val="2"/>
                <w:szCs w:val="2"/>
              </w:rPr>
            </w:pPr>
          </w:p>
        </w:tc>
        <w:tc>
          <w:tcPr>
            <w:tcW w:w="413"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eastAsiaTheme="minorEastAsia"/>
                <w:sz w:val="28"/>
                <w:szCs w:val="28"/>
                <w:lang w:val="en-US" w:eastAsia="zh-CN"/>
              </w:rPr>
            </w:pPr>
            <w:r>
              <w:rPr>
                <w:rFonts w:hint="eastAsia"/>
                <w:sz w:val="28"/>
                <w:szCs w:val="28"/>
                <w:lang w:val="en-US" w:eastAsia="zh-CN"/>
              </w:rPr>
              <w:t>3</w:t>
            </w:r>
          </w:p>
        </w:tc>
        <w:tc>
          <w:tcPr>
            <w:tcW w:w="469"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sz w:val="28"/>
                <w:szCs w:val="28"/>
              </w:rPr>
              <w:t>5</w:t>
            </w:r>
          </w:p>
        </w:tc>
        <w:tc>
          <w:tcPr>
            <w:tcW w:w="497"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sz w:val="28"/>
                <w:szCs w:val="28"/>
                <w:lang w:val="en-US" w:eastAsia="zh-CN"/>
              </w:rPr>
            </w:pPr>
            <w:r>
              <w:rPr>
                <w:rFonts w:hint="eastAsia"/>
                <w:sz w:val="28"/>
                <w:szCs w:val="28"/>
                <w:lang w:val="en-US" w:eastAsia="zh-CN"/>
              </w:rPr>
              <w:t>3</w:t>
            </w:r>
          </w:p>
        </w:tc>
        <w:tc>
          <w:tcPr>
            <w:tcW w:w="451"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sz w:val="28"/>
                <w:szCs w:val="28"/>
                <w:lang w:val="en-US" w:eastAsia="zh-CN"/>
              </w:rPr>
            </w:pPr>
            <w:r>
              <w:rPr>
                <w:rFonts w:hint="eastAsia"/>
                <w:sz w:val="28"/>
                <w:szCs w:val="28"/>
                <w:lang w:val="en-US" w:eastAsia="zh-CN"/>
              </w:rPr>
              <w:t>2</w:t>
            </w:r>
          </w:p>
        </w:tc>
        <w:tc>
          <w:tcPr>
            <w:tcW w:w="480"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sz w:val="28"/>
                <w:szCs w:val="28"/>
                <w:lang w:val="en-US" w:eastAsia="zh-CN"/>
              </w:rPr>
            </w:pPr>
            <w:r>
              <w:rPr>
                <w:rFonts w:hint="eastAsia"/>
                <w:sz w:val="28"/>
                <w:szCs w:val="28"/>
                <w:lang w:val="en-US" w:eastAsia="zh-CN"/>
              </w:rPr>
              <w:t>2</w:t>
            </w:r>
          </w:p>
        </w:tc>
        <w:tc>
          <w:tcPr>
            <w:tcW w:w="478"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eastAsiaTheme="minorEastAsia"/>
                <w:sz w:val="28"/>
                <w:szCs w:val="28"/>
                <w:lang w:val="en-US" w:eastAsia="zh-CN"/>
              </w:rPr>
            </w:pPr>
            <w:r>
              <w:rPr>
                <w:rFonts w:hint="eastAsia"/>
                <w:sz w:val="28"/>
                <w:szCs w:val="28"/>
                <w:lang w:val="en-US" w:eastAsia="zh-CN"/>
              </w:rPr>
              <w:t>2</w:t>
            </w:r>
          </w:p>
        </w:tc>
        <w:tc>
          <w:tcPr>
            <w:tcW w:w="481"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sz w:val="28"/>
                <w:szCs w:val="28"/>
                <w:lang w:val="en-US" w:eastAsia="zh-CN"/>
              </w:rPr>
            </w:pPr>
            <w:r>
              <w:rPr>
                <w:rFonts w:hint="eastAsia"/>
                <w:sz w:val="28"/>
                <w:szCs w:val="28"/>
                <w:lang w:val="en-US" w:eastAsia="zh-CN"/>
              </w:rPr>
              <w:t>4</w:t>
            </w:r>
          </w:p>
        </w:tc>
        <w:tc>
          <w:tcPr>
            <w:tcW w:w="441"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Theme="minorHAnsi" w:hAnsiTheme="minorHAnsi" w:eastAsiaTheme="minorEastAsia" w:cstheme="minorBidi"/>
                <w:kern w:val="0"/>
                <w:sz w:val="28"/>
                <w:szCs w:val="28"/>
                <w:lang w:val="en-US" w:eastAsia="zh-CN" w:bidi="ar"/>
              </w:rPr>
            </w:pPr>
            <w:r>
              <w:rPr>
                <w:rFonts w:hint="eastAsia"/>
                <w:sz w:val="28"/>
                <w:szCs w:val="28"/>
                <w:lang w:val="en-US" w:eastAsia="zh-CN"/>
              </w:rPr>
              <w:t>2</w:t>
            </w:r>
          </w:p>
        </w:tc>
        <w:tc>
          <w:tcPr>
            <w:tcW w:w="512" w:type="pct"/>
            <w:tcBorders>
              <w:top w:val="single" w:color="000000" w:sz="6" w:space="0"/>
              <w:left w:val="single" w:color="000000" w:sz="6" w:space="0"/>
              <w:bottom w:val="single" w:color="000000" w:sz="6" w:space="0"/>
              <w:right w:val="single" w:color="000000" w:sz="6" w:space="0"/>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eastAsiaTheme="minorEastAsia"/>
                <w:sz w:val="28"/>
                <w:szCs w:val="28"/>
                <w:lang w:val="en-US" w:eastAsia="zh-CN"/>
              </w:rPr>
            </w:pPr>
            <w:r>
              <w:rPr>
                <w:rFonts w:hint="eastAsia"/>
                <w:sz w:val="28"/>
                <w:szCs w:val="28"/>
                <w:lang w:val="en-US" w:eastAsia="zh-CN"/>
              </w:rPr>
              <w:t>23</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5"/>
          <w:sz w:val="28"/>
          <w:szCs w:val="28"/>
        </w:rPr>
        <w:t>二、招聘条件</w:t>
      </w:r>
    </w:p>
    <w:p>
      <w:pPr>
        <w:keepNext w:val="0"/>
        <w:keepLines w:val="0"/>
        <w:widowControl/>
        <w:suppressLineNumbers w:val="0"/>
        <w:ind w:firstLine="560" w:firstLineChars="200"/>
        <w:jc w:val="left"/>
        <w:rPr>
          <w:sz w:val="22"/>
          <w:szCs w:val="28"/>
        </w:rPr>
      </w:pPr>
      <w:r>
        <w:rPr>
          <w:rFonts w:ascii="宋体" w:hAnsi="宋体" w:eastAsia="宋体" w:cs="宋体"/>
          <w:kern w:val="0"/>
          <w:sz w:val="28"/>
          <w:szCs w:val="28"/>
          <w:lang w:val="en-US" w:eastAsia="zh-CN" w:bidi="ar"/>
        </w:rPr>
        <w:t>热爱教育事业，责任心强，关爱学生，具有高尚的师德师风。专业知识基本功扎实，素质过硬，有奉献精神、团结协作精神和创新精神，认同学校教育教学理念。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  1、全日制师范类本科及以上学历，具有相应专业学习背景并持有相应岗位教师资格证书。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  2、普通话二级乙等及以上水平（应聘语文教师岗位需达到二级甲等）。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  3、应聘英语教师岗位的须持有专业四级或大学英语六级及以上证书。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  4、应聘者年龄不超过</w:t>
      </w:r>
      <w:r>
        <w:rPr>
          <w:rFonts w:hint="eastAsia"/>
          <w:sz w:val="28"/>
          <w:szCs w:val="28"/>
          <w:lang w:val="en-US" w:eastAsia="zh-CN"/>
        </w:rPr>
        <w:t>45</w:t>
      </w:r>
      <w:r>
        <w:rPr>
          <w:sz w:val="28"/>
          <w:szCs w:val="28"/>
        </w:rPr>
        <w:t>岁，身体健康，体检合格。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  5、有相关教育教学工作经验者优先考虑（中教一级及以上职称者优先录取，退休老教师、获得县（市）级以上“学科带头人、优秀教师、骨干教师、优秀班主任”等荣誉称号的可适当放宽年龄限制）。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5"/>
          <w:sz w:val="28"/>
          <w:szCs w:val="28"/>
        </w:rPr>
        <w:t>三、工资及福利待遇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5"/>
          <w:sz w:val="28"/>
          <w:szCs w:val="28"/>
        </w:rPr>
        <w:t>（一）工资</w:t>
      </w:r>
    </w:p>
    <w:p>
      <w:pPr>
        <w:keepNext w:val="0"/>
        <w:keepLines w:val="0"/>
        <w:widowControl/>
        <w:suppressLineNumbers w:val="0"/>
        <w:ind w:firstLine="560" w:firstLineChars="200"/>
        <w:jc w:val="left"/>
        <w:rPr>
          <w:sz w:val="22"/>
          <w:szCs w:val="28"/>
        </w:rPr>
      </w:pPr>
      <w:bookmarkStart w:id="0" w:name="_GoBack"/>
      <w:bookmarkEnd w:id="0"/>
      <w:r>
        <w:rPr>
          <w:rFonts w:ascii="宋体" w:hAnsi="宋体" w:eastAsia="宋体" w:cs="宋体"/>
          <w:kern w:val="0"/>
          <w:sz w:val="28"/>
          <w:szCs w:val="28"/>
          <w:lang w:val="en-US" w:eastAsia="zh-CN" w:bidi="ar"/>
        </w:rPr>
        <w:t>遵循“多劳多得、优质优酬”的分配原则，实行绩效工资制，按照“基础工资+绩效工资+奖金”的办法考核发放。（教师年薪：初职：8-10万元/年；中职：10-12万元/年；高职（学科带头人）：12-</w:t>
      </w:r>
      <w:r>
        <w:rPr>
          <w:rFonts w:hint="eastAsia" w:ascii="宋体" w:hAnsi="宋体" w:eastAsia="宋体" w:cs="宋体"/>
          <w:kern w:val="0"/>
          <w:sz w:val="28"/>
          <w:szCs w:val="28"/>
          <w:lang w:val="en-US" w:eastAsia="zh-CN" w:bidi="ar"/>
        </w:rPr>
        <w:t>18</w:t>
      </w:r>
      <w:r>
        <w:rPr>
          <w:rFonts w:ascii="宋体" w:hAnsi="宋体" w:eastAsia="宋体" w:cs="宋体"/>
          <w:kern w:val="0"/>
          <w:sz w:val="28"/>
          <w:szCs w:val="28"/>
          <w:lang w:val="en-US" w:eastAsia="zh-CN" w:bidi="ar"/>
        </w:rPr>
        <w:t>万元/年。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5"/>
          <w:sz w:val="28"/>
          <w:szCs w:val="28"/>
        </w:rPr>
        <w:t> （二）福利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1、学校在春节、教师节、中秋节等节日为教师发放节日福利。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2、学校适时为教师提供外出学习交流、考察培训的机会。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3、免费提供住宿。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4、国家法定节假日及寒暑假带薪休假。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5"/>
          <w:sz w:val="28"/>
          <w:szCs w:val="28"/>
        </w:rPr>
        <w:t>（三）社会保险</w:t>
      </w:r>
    </w:p>
    <w:p>
      <w:pPr>
        <w:keepNext w:val="0"/>
        <w:keepLines w:val="0"/>
        <w:widowControl/>
        <w:suppressLineNumbers w:val="0"/>
        <w:ind w:firstLine="560" w:firstLineChars="200"/>
        <w:jc w:val="left"/>
        <w:rPr>
          <w:sz w:val="22"/>
          <w:szCs w:val="28"/>
        </w:rPr>
      </w:pPr>
      <w:r>
        <w:rPr>
          <w:rFonts w:ascii="宋体" w:hAnsi="宋体" w:eastAsia="宋体" w:cs="宋体"/>
          <w:kern w:val="0"/>
          <w:sz w:val="28"/>
          <w:szCs w:val="28"/>
          <w:lang w:val="en-US" w:eastAsia="zh-CN" w:bidi="ar"/>
        </w:rPr>
        <w:t>学校为教师缴纳养老保险、医疗保险、失业保险、工伤保险、生育保险和住房公基金(五险一金)。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5"/>
          <w:sz w:val="28"/>
          <w:szCs w:val="28"/>
        </w:rPr>
        <w:t>四、招聘流程及时间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1、投递简历时间：即日起至</w:t>
      </w:r>
      <w:r>
        <w:rPr>
          <w:rFonts w:hint="eastAsia"/>
          <w:sz w:val="28"/>
          <w:szCs w:val="28"/>
          <w:lang w:val="en-US" w:eastAsia="zh-CN"/>
        </w:rPr>
        <w:t>长期有效</w:t>
      </w:r>
      <w:r>
        <w:rPr>
          <w:sz w:val="28"/>
          <w:szCs w:val="28"/>
        </w:rPr>
        <w:t>（初审通过后，电话通知笔试及试讲，为方便各位老师，笔试及试讲地点均为南鹏高级中学校内，具体事宜，待电话通知确认）。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2、笔试及试讲：已通过条件筛选的应聘者携带毕业证、学位证、身份证、职称证、教师资格证、普通话证、获奖证书、音体美书法作品等相关证件到南鹏高级中学校内参加笔试及试讲。已通过笔试的应聘者于当天参加试讲。学校在</w:t>
      </w:r>
      <w:r>
        <w:rPr>
          <w:rFonts w:hint="eastAsia"/>
          <w:sz w:val="28"/>
          <w:szCs w:val="28"/>
          <w:lang w:val="en-US" w:eastAsia="zh-CN"/>
        </w:rPr>
        <w:t>5个工作日</w:t>
      </w:r>
      <w:r>
        <w:rPr>
          <w:sz w:val="28"/>
          <w:szCs w:val="28"/>
        </w:rPr>
        <w:t>内根据面试成绩及笔试成绩确定录用名单。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3、已被确定录用人员校报道入职时间另行通知。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4、办理完教师入职手续后由学校统一组织教师培训。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5"/>
          <w:sz w:val="28"/>
          <w:szCs w:val="28"/>
        </w:rPr>
        <w:t>五、联系方式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1、将简历及相关资料投递至此邮箱：1725940146@qq.com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资料：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w:t>
      </w:r>
      <w:r>
        <w:rPr>
          <w:rFonts w:hint="eastAsia"/>
          <w:sz w:val="28"/>
          <w:szCs w:val="28"/>
          <w:lang w:val="en-US" w:eastAsia="zh-CN"/>
        </w:rPr>
        <w:t>1</w:t>
      </w:r>
      <w:r>
        <w:rPr>
          <w:sz w:val="28"/>
          <w:szCs w:val="28"/>
        </w:rPr>
        <w:t>）个人简历（电子版）。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w:t>
      </w:r>
      <w:r>
        <w:rPr>
          <w:rFonts w:hint="eastAsia"/>
          <w:sz w:val="28"/>
          <w:szCs w:val="28"/>
          <w:lang w:val="en-US" w:eastAsia="zh-CN"/>
        </w:rPr>
        <w:t>2</w:t>
      </w:r>
      <w:r>
        <w:rPr>
          <w:sz w:val="28"/>
          <w:szCs w:val="28"/>
        </w:rPr>
        <w:t>）身份证、毕业证、学位证、教师资格证、普通话证以及其他相关资格证书、获奖证书等电子扫描件。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w:t>
      </w:r>
      <w:r>
        <w:rPr>
          <w:rFonts w:hint="eastAsia"/>
          <w:sz w:val="28"/>
          <w:szCs w:val="28"/>
          <w:lang w:val="en-US" w:eastAsia="zh-CN"/>
        </w:rPr>
        <w:t>3</w:t>
      </w:r>
      <w:r>
        <w:rPr>
          <w:sz w:val="28"/>
          <w:szCs w:val="28"/>
        </w:rPr>
        <w:t>）邮件以“姓名+学科”命名。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3、投递简历后，等待电话通知，未通过者不再另行通知。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4、为不影响学校正常教育教学秩序，恕不接受应聘者到校现场咨询。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5、联系电话：15752327322（皇老师）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6、微信号：15752327322（皇老师）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sz w:val="28"/>
          <w:szCs w:val="28"/>
        </w:rPr>
        <w:t>7、学校地址：大理州南涧县南涧镇得胜村委会杨免庄127号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rPr>
          <w:sz w:val="28"/>
          <w:szCs w:val="28"/>
        </w:rPr>
      </w:pPr>
      <w:r>
        <w:rPr>
          <w:sz w:val="28"/>
          <w:szCs w:val="28"/>
        </w:rPr>
        <w:t>南涧县南鹏高级中学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rPr>
          <w:sz w:val="28"/>
          <w:szCs w:val="28"/>
        </w:rPr>
      </w:pPr>
      <w:r>
        <w:rPr>
          <w:sz w:val="28"/>
          <w:szCs w:val="28"/>
        </w:rPr>
        <w:t>202</w:t>
      </w:r>
      <w:r>
        <w:rPr>
          <w:rFonts w:hint="eastAsia"/>
          <w:sz w:val="28"/>
          <w:szCs w:val="28"/>
          <w:lang w:val="en-US" w:eastAsia="zh-CN"/>
        </w:rPr>
        <w:t>3</w:t>
      </w:r>
      <w:r>
        <w:rPr>
          <w:sz w:val="28"/>
          <w:szCs w:val="28"/>
        </w:rPr>
        <w:t>年</w:t>
      </w:r>
      <w:r>
        <w:rPr>
          <w:rFonts w:hint="eastAsia"/>
          <w:sz w:val="28"/>
          <w:szCs w:val="28"/>
          <w:lang w:val="en-US" w:eastAsia="zh-CN"/>
        </w:rPr>
        <w:t>8</w:t>
      </w:r>
      <w:r>
        <w:rPr>
          <w:sz w:val="28"/>
          <w:szCs w:val="28"/>
        </w:rPr>
        <w:t>月13日</w:t>
      </w:r>
    </w:p>
    <w:p>
      <w:pPr>
        <w:keepNext w:val="0"/>
        <w:keepLines w:val="0"/>
        <w:widowControl/>
        <w:suppressLineNumbers w:val="0"/>
        <w:jc w:val="left"/>
        <w:rPr>
          <w:sz w:val="22"/>
          <w:szCs w:val="28"/>
        </w:rPr>
      </w:pPr>
    </w:p>
    <w:p>
      <w:pPr>
        <w:rPr>
          <w:sz w:val="22"/>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1ZGQ1YTFlMDU4NzlhZmVjNDM2YzdjMjk0ODdhNGIifQ=="/>
  </w:docVars>
  <w:rsids>
    <w:rsidRoot w:val="00000000"/>
    <w:rsid w:val="16B32D77"/>
    <w:rsid w:val="3BC50F9F"/>
    <w:rsid w:val="470B5CCB"/>
    <w:rsid w:val="4DDE3E59"/>
    <w:rsid w:val="4F1B712F"/>
    <w:rsid w:val="5B15697F"/>
    <w:rsid w:val="60AC0775"/>
    <w:rsid w:val="673955B9"/>
    <w:rsid w:val="774E5A8B"/>
    <w:rsid w:val="77CC4C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1566</Words>
  <Characters>1631</Characters>
  <Lines>0</Lines>
  <Paragraphs>0</Paragraphs>
  <TotalTime>4</TotalTime>
  <ScaleCrop>false</ScaleCrop>
  <LinksUpToDate>false</LinksUpToDate>
  <CharactersWithSpaces>1650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莎莎</cp:lastModifiedBy>
  <dcterms:modified xsi:type="dcterms:W3CDTF">2023-09-23T08:57:40Z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C009FAFC1AE84FD68BF2F344B7A1CDF8_13</vt:lpwstr>
  </property>
</Properties>
</file>